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7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99"/>
      </w:tblGrid>
      <w:tr w:rsidR="00C66B59" w:rsidRPr="00460075" w:rsidTr="00EC7D60">
        <w:trPr>
          <w:trHeight w:val="1812"/>
        </w:trPr>
        <w:tc>
          <w:tcPr>
            <w:tcW w:w="8799" w:type="dxa"/>
            <w:tcBorders>
              <w:top w:val="nil"/>
              <w:left w:val="nil"/>
              <w:bottom w:val="nil"/>
              <w:right w:val="nil"/>
            </w:tcBorders>
            <w:shd w:val="clear" w:color="auto" w:fill="auto"/>
            <w:tcMar>
              <w:left w:w="0" w:type="dxa"/>
              <w:right w:w="0" w:type="dxa"/>
            </w:tcMar>
          </w:tcPr>
          <w:p w:rsidR="00EC7D60" w:rsidRPr="00460075" w:rsidRDefault="000C44EA" w:rsidP="00460075">
            <w:pPr>
              <w:tabs>
                <w:tab w:val="right" w:pos="7513"/>
              </w:tabs>
              <w:jc w:val="center"/>
              <w:rPr>
                <w:b/>
                <w:sz w:val="28"/>
                <w:szCs w:val="28"/>
              </w:rPr>
            </w:pPr>
            <w:r w:rsidRPr="00460075">
              <w:rPr>
                <w:b/>
                <w:sz w:val="28"/>
                <w:szCs w:val="28"/>
              </w:rPr>
              <w:t xml:space="preserve">Mix Reactive Droplet in a Powder </w:t>
            </w:r>
            <w:proofErr w:type="gramStart"/>
            <w:r w:rsidRPr="00460075">
              <w:rPr>
                <w:b/>
                <w:sz w:val="28"/>
                <w:szCs w:val="28"/>
              </w:rPr>
              <w:t>Bed</w:t>
            </w:r>
            <w:r w:rsidR="00EC7D60" w:rsidRPr="00460075">
              <w:rPr>
                <w:rFonts w:ascii="新細明體" w:eastAsia="新細明體" w:hAnsi="新細明體" w:hint="eastAsia"/>
                <w:b/>
                <w:sz w:val="28"/>
                <w:szCs w:val="28"/>
                <w:lang w:eastAsia="zh-TW"/>
              </w:rPr>
              <w:t>(</w:t>
            </w:r>
            <w:proofErr w:type="gramEnd"/>
            <w:r w:rsidR="00EC7D60" w:rsidRPr="00460075">
              <w:rPr>
                <w:b/>
                <w:sz w:val="28"/>
                <w:szCs w:val="28"/>
              </w:rPr>
              <w:t>1</w:t>
            </w:r>
            <w:r w:rsidR="00EC7D60" w:rsidRPr="00460075">
              <w:rPr>
                <w:rFonts w:hint="eastAsia"/>
                <w:b/>
                <w:sz w:val="28"/>
                <w:szCs w:val="28"/>
              </w:rPr>
              <w:t>4</w:t>
            </w:r>
            <w:r w:rsidR="00EC7D60" w:rsidRPr="00460075">
              <w:rPr>
                <w:b/>
                <w:sz w:val="24"/>
                <w:szCs w:val="24"/>
              </w:rPr>
              <w:t xml:space="preserve"> Bold</w:t>
            </w:r>
            <w:r w:rsidR="00EC7D60" w:rsidRPr="00460075">
              <w:rPr>
                <w:rFonts w:ascii="新細明體" w:eastAsia="新細明體" w:hAnsi="新細明體" w:hint="eastAsia"/>
                <w:b/>
                <w:sz w:val="28"/>
                <w:szCs w:val="28"/>
                <w:lang w:eastAsia="zh-TW"/>
              </w:rPr>
              <w:t>)</w:t>
            </w:r>
          </w:p>
          <w:p w:rsidR="00C66B59" w:rsidRPr="00460075" w:rsidRDefault="00C66B59" w:rsidP="00EC7D60">
            <w:pPr>
              <w:jc w:val="center"/>
              <w:rPr>
                <w:b/>
                <w:sz w:val="28"/>
                <w:szCs w:val="28"/>
              </w:rPr>
            </w:pPr>
          </w:p>
          <w:p w:rsidR="00C66B59" w:rsidRPr="00460075" w:rsidRDefault="000C44EA" w:rsidP="00EC7D60">
            <w:pPr>
              <w:tabs>
                <w:tab w:val="right" w:pos="7513"/>
              </w:tabs>
              <w:jc w:val="center"/>
              <w:rPr>
                <w:b/>
                <w:sz w:val="28"/>
                <w:szCs w:val="28"/>
              </w:rPr>
            </w:pPr>
            <w:r w:rsidRPr="00460075">
              <w:rPr>
                <w:b/>
                <w:u w:val="single"/>
              </w:rPr>
              <w:t>Ting-Yu Cheng</w:t>
            </w:r>
            <w:r w:rsidRPr="00460075">
              <w:rPr>
                <w:b/>
                <w:u w:val="single"/>
                <w:vertAlign w:val="superscript"/>
              </w:rPr>
              <w:t>1</w:t>
            </w:r>
            <w:r w:rsidRPr="00460075">
              <w:rPr>
                <w:b/>
              </w:rPr>
              <w:t>, Pankaj Doshi</w:t>
            </w:r>
            <w:r w:rsidRPr="00460075">
              <w:rPr>
                <w:b/>
                <w:vertAlign w:val="superscript"/>
              </w:rPr>
              <w:t>2</w:t>
            </w:r>
            <w:r w:rsidRPr="00460075">
              <w:rPr>
                <w:b/>
              </w:rPr>
              <w:t xml:space="preserve"> and Ying-</w:t>
            </w:r>
            <w:proofErr w:type="spellStart"/>
            <w:r w:rsidRPr="00460075">
              <w:rPr>
                <w:b/>
              </w:rPr>
              <w:t>Chih</w:t>
            </w:r>
            <w:proofErr w:type="spellEnd"/>
            <w:r w:rsidRPr="00460075">
              <w:rPr>
                <w:b/>
              </w:rPr>
              <w:t xml:space="preserve"> Liao</w:t>
            </w:r>
            <w:proofErr w:type="gramStart"/>
            <w:r w:rsidRPr="00460075">
              <w:rPr>
                <w:b/>
                <w:vertAlign w:val="superscript"/>
              </w:rPr>
              <w:t>1,*</w:t>
            </w:r>
            <w:proofErr w:type="gramEnd"/>
            <w:r w:rsidR="00EC7D60" w:rsidRPr="00460075">
              <w:rPr>
                <w:rFonts w:ascii="新細明體" w:eastAsia="新細明體" w:hAnsi="新細明體" w:hint="eastAsia"/>
                <w:b/>
                <w:sz w:val="28"/>
                <w:szCs w:val="28"/>
                <w:lang w:eastAsia="zh-TW"/>
              </w:rPr>
              <w:t xml:space="preserve"> </w:t>
            </w:r>
            <w:r w:rsidR="00EC7D60" w:rsidRPr="00460075">
              <w:rPr>
                <w:rFonts w:ascii="新細明體" w:eastAsia="新細明體" w:hAnsi="新細明體" w:hint="eastAsia"/>
                <w:b/>
                <w:lang w:eastAsia="zh-TW"/>
              </w:rPr>
              <w:t>(</w:t>
            </w:r>
            <w:r w:rsidR="00EC7D60" w:rsidRPr="00460075">
              <w:rPr>
                <w:b/>
              </w:rPr>
              <w:t>1</w:t>
            </w:r>
            <w:r w:rsidR="00EC7D60" w:rsidRPr="00460075">
              <w:rPr>
                <w:rFonts w:hint="eastAsia"/>
                <w:b/>
              </w:rPr>
              <w:t>0</w:t>
            </w:r>
            <w:r w:rsidR="00EC7D60" w:rsidRPr="00460075">
              <w:rPr>
                <w:b/>
              </w:rPr>
              <w:t xml:space="preserve"> Bold</w:t>
            </w:r>
            <w:r w:rsidR="00EC7D60" w:rsidRPr="00460075">
              <w:rPr>
                <w:rFonts w:ascii="新細明體" w:eastAsia="新細明體" w:hAnsi="新細明體" w:hint="eastAsia"/>
                <w:b/>
                <w:lang w:eastAsia="zh-TW"/>
              </w:rPr>
              <w:t>)</w:t>
            </w:r>
          </w:p>
          <w:p w:rsidR="00C66B59" w:rsidRPr="00460075" w:rsidRDefault="00C66B59" w:rsidP="00EC7D60">
            <w:pPr>
              <w:jc w:val="center"/>
            </w:pPr>
          </w:p>
          <w:p w:rsidR="00C66B59" w:rsidRPr="00460075" w:rsidRDefault="00C66B59" w:rsidP="00EC7D60">
            <w:pPr>
              <w:jc w:val="center"/>
            </w:pPr>
            <w:r w:rsidRPr="00460075">
              <w:rPr>
                <w:vertAlign w:val="superscript"/>
              </w:rPr>
              <w:t>1</w:t>
            </w:r>
            <w:r w:rsidRPr="00460075">
              <w:rPr>
                <w:rFonts w:hint="eastAsia"/>
              </w:rPr>
              <w:t xml:space="preserve"> </w:t>
            </w:r>
            <w:r w:rsidR="000C44EA" w:rsidRPr="00460075">
              <w:t>Department of Chemical Engineering, National Taiwan University, Taipei City, Taiwan</w:t>
            </w:r>
          </w:p>
          <w:p w:rsidR="00C66B59" w:rsidRPr="00460075" w:rsidRDefault="00C66B59" w:rsidP="00EC7D60">
            <w:pPr>
              <w:jc w:val="center"/>
            </w:pPr>
            <w:r w:rsidRPr="00460075">
              <w:rPr>
                <w:vertAlign w:val="superscript"/>
              </w:rPr>
              <w:t>2</w:t>
            </w:r>
            <w:r w:rsidRPr="00460075">
              <w:rPr>
                <w:rFonts w:hint="eastAsia"/>
              </w:rPr>
              <w:t xml:space="preserve"> </w:t>
            </w:r>
            <w:r w:rsidR="000C44EA" w:rsidRPr="00460075">
              <w:t>Worldwide Research and Development, Pfizer Inc., Groton, CT</w:t>
            </w:r>
          </w:p>
          <w:p w:rsidR="00C66B59" w:rsidRPr="00460075" w:rsidRDefault="00C66B59" w:rsidP="00EC7D60">
            <w:pPr>
              <w:jc w:val="center"/>
            </w:pPr>
            <w:r w:rsidRPr="00460075">
              <w:t>Email</w:t>
            </w:r>
            <w:r w:rsidRPr="00460075">
              <w:rPr>
                <w:rFonts w:hint="eastAsia"/>
              </w:rPr>
              <w:t xml:space="preserve"> of corresponding author</w:t>
            </w:r>
            <w:r w:rsidRPr="00460075">
              <w:t xml:space="preserve">: </w:t>
            </w:r>
            <w:r w:rsidR="000C44EA" w:rsidRPr="00460075">
              <w:t>liaoy@ntu.edu.tw</w:t>
            </w:r>
          </w:p>
          <w:p w:rsidR="00EC7D60" w:rsidRPr="00460075" w:rsidRDefault="00EC7D60" w:rsidP="00EC7D60">
            <w:pPr>
              <w:jc w:val="center"/>
            </w:pPr>
            <w:r w:rsidRPr="00460075">
              <w:rPr>
                <w:rFonts w:eastAsia="Times New Roman"/>
              </w:rPr>
              <w:t>(10 regular)</w:t>
            </w:r>
          </w:p>
        </w:tc>
      </w:tr>
    </w:tbl>
    <w:p w:rsidR="00B218ED" w:rsidRPr="00460075" w:rsidRDefault="00B218ED" w:rsidP="002027D3"/>
    <w:p w:rsidR="0079113C" w:rsidRPr="00460075" w:rsidRDefault="0079113C" w:rsidP="002027D3">
      <w:pPr>
        <w:sectPr w:rsidR="0079113C" w:rsidRPr="00460075" w:rsidSect="00C27A03">
          <w:headerReference w:type="default" r:id="rId8"/>
          <w:type w:val="continuous"/>
          <w:pgSz w:w="11906" w:h="16838" w:code="9"/>
          <w:pgMar w:top="1418" w:right="1418" w:bottom="1418" w:left="1418" w:header="851" w:footer="992" w:gutter="0"/>
          <w:cols w:space="426" w:equalWidth="0">
            <w:col w:w="9354" w:space="513"/>
          </w:cols>
          <w:docGrid w:linePitch="274"/>
        </w:sectPr>
      </w:pPr>
    </w:p>
    <w:p w:rsidR="00676C1F" w:rsidRPr="00460075" w:rsidRDefault="00EC7D60" w:rsidP="00C27A03">
      <w:pPr>
        <w:jc w:val="center"/>
        <w:rPr>
          <w:b/>
        </w:rPr>
      </w:pPr>
      <w:r w:rsidRPr="00460075">
        <w:rPr>
          <w:b/>
        </w:rPr>
        <w:t>Abstract (1</w:t>
      </w:r>
      <w:r w:rsidRPr="00460075">
        <w:rPr>
          <w:rFonts w:eastAsia="新細明體"/>
          <w:b/>
          <w:lang w:eastAsia="zh-TW"/>
        </w:rPr>
        <w:t>2</w:t>
      </w:r>
      <w:r w:rsidRPr="00460075">
        <w:rPr>
          <w:b/>
        </w:rPr>
        <w:t xml:space="preserve"> Bold)</w:t>
      </w:r>
    </w:p>
    <w:p w:rsidR="00EC7D60" w:rsidRDefault="00EC7D60" w:rsidP="00C27A03">
      <w:pPr>
        <w:jc w:val="center"/>
      </w:pPr>
    </w:p>
    <w:p w:rsidR="004E63FE" w:rsidRPr="0047793A" w:rsidRDefault="009D4BE3" w:rsidP="009D4BE3">
      <w:pPr>
        <w:ind w:firstLineChars="150" w:firstLine="330"/>
        <w:rPr>
          <w:sz w:val="22"/>
        </w:rPr>
      </w:pPr>
      <w:r w:rsidRPr="009D4BE3">
        <w:rPr>
          <w:sz w:val="22"/>
        </w:rPr>
        <w:t xml:space="preserve">Among all 3D printing technologies, binder-jetting is famous for printing multiple materials simultaneously with multi-nozzles, and thus is convenient to integrate several elements in a single manufacturing process. Standard binder-jetting procedure prints glue inks on powder layer to bind powder particles together. By printing epoxy inks with curing agents (or so-called AB glues) from separate nozzles simultaneously on powder, the printed objects can yield in high mechanical strength after curing. Therefore, the distribution of the two inks in powder and the reaction extent are critical to the printing resolution and mechanical properties. Because it is technically difficult to observe fluid flows in powder experimentally in the binder-jetting process, a computational fluid dynamics (CFD) approach is used in this study to explore capillary flows in between micron-size particles. A CFD model is developed to describe the mixing and reaction of two chemical components in the capillary flow inside the powder bed using a commercial software, Flow-3D. Two droplets, one carrying </w:t>
      </w:r>
      <w:proofErr w:type="spellStart"/>
      <w:r w:rsidRPr="009D4BE3">
        <w:rPr>
          <w:sz w:val="22"/>
        </w:rPr>
        <w:t>expoxy</w:t>
      </w:r>
      <w:proofErr w:type="spellEnd"/>
      <w:r w:rsidRPr="009D4BE3">
        <w:rPr>
          <w:sz w:val="22"/>
        </w:rPr>
        <w:t xml:space="preserve"> ink and the other containing curing agents, fall onto and penetrate into a powder bed of micron-size particles. After droplet impact and spread over the particles, flows driven by capillary force causes the liquid gradually penetrate into the void space in the powder bed. The capillary flow of the two adjacent droplets leads to mixing and reaction between the two chemical species carried by separate droplets. The degree of mixing and reaction extent of the AB glue will be optimized by alternating droplet velocity, the relative positions of droplets, and the hydrophilicity and sizes of powder particles. In summary, this study will provide a general guideline to optimize the mixing of inks in powders, and can be further apply to improve the printing quality of printed objects from binder-jetting.</w:t>
      </w:r>
      <w:r w:rsidR="004E63FE" w:rsidRPr="0047793A">
        <w:rPr>
          <w:rFonts w:hint="eastAsia"/>
          <w:sz w:val="22"/>
        </w:rPr>
        <w:t xml:space="preserve"> </w:t>
      </w:r>
    </w:p>
    <w:p w:rsidR="00376901" w:rsidRDefault="00376901" w:rsidP="002027D3"/>
    <w:p w:rsidR="00EC7D60" w:rsidRPr="00EC7D60" w:rsidRDefault="00460075" w:rsidP="00EC7D60">
      <w:pPr>
        <w:jc w:val="center"/>
        <w:rPr>
          <w:rFonts w:eastAsia="新細明體"/>
          <w:lang w:eastAsia="zh-TW"/>
        </w:rPr>
      </w:pPr>
      <w:r w:rsidRPr="00460075">
        <w:rPr>
          <w:rFonts w:eastAsia="新細明體"/>
          <w:noProof/>
          <w:lang w:eastAsia="zh-TW"/>
        </w:rPr>
        <w:drawing>
          <wp:inline distT="0" distB="0" distL="0" distR="0" wp14:anchorId="257B006F" wp14:editId="2505066E">
            <wp:extent cx="3876040" cy="2056125"/>
            <wp:effectExtent l="0" t="0" r="0" b="190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t="3735"/>
                    <a:stretch/>
                  </pic:blipFill>
                  <pic:spPr bwMode="auto">
                    <a:xfrm>
                      <a:off x="0" y="0"/>
                      <a:ext cx="3886228" cy="2061530"/>
                    </a:xfrm>
                    <a:prstGeom prst="rect">
                      <a:avLst/>
                    </a:prstGeom>
                    <a:ln>
                      <a:noFill/>
                    </a:ln>
                    <a:extLst>
                      <a:ext uri="{53640926-AAD7-44D8-BBD7-CCE9431645EC}">
                        <a14:shadowObscured xmlns:a14="http://schemas.microsoft.com/office/drawing/2010/main"/>
                      </a:ext>
                    </a:extLst>
                  </pic:spPr>
                </pic:pic>
              </a:graphicData>
            </a:graphic>
          </wp:inline>
        </w:drawing>
      </w:r>
    </w:p>
    <w:p w:rsidR="00EC7D60" w:rsidRDefault="00EC7D60" w:rsidP="00EC7D60">
      <w:pPr>
        <w:jc w:val="center"/>
        <w:rPr>
          <w:rFonts w:eastAsia="Times New Roman"/>
          <w:b/>
          <w:color w:val="000000"/>
          <w:kern w:val="0"/>
          <w:sz w:val="18"/>
          <w:szCs w:val="18"/>
          <w:u w:val="single"/>
          <w:lang w:eastAsia="en-US"/>
        </w:rPr>
      </w:pPr>
      <w:r>
        <w:rPr>
          <w:rFonts w:eastAsia="Times New Roman"/>
          <w:b/>
          <w:color w:val="000000"/>
          <w:sz w:val="18"/>
          <w:szCs w:val="18"/>
        </w:rPr>
        <w:t xml:space="preserve">Figure 1 </w:t>
      </w:r>
      <w:r w:rsidR="00460075">
        <w:rPr>
          <w:rFonts w:eastAsia="Times New Roman"/>
          <w:b/>
          <w:color w:val="000000"/>
          <w:sz w:val="18"/>
          <w:szCs w:val="18"/>
        </w:rPr>
        <w:t>ICFPE2024</w:t>
      </w:r>
    </w:p>
    <w:p w:rsidR="00376901" w:rsidRDefault="00376901" w:rsidP="002027D3"/>
    <w:p w:rsidR="00EC7D60" w:rsidRDefault="00EC7D60" w:rsidP="00EC7D60">
      <w:pPr>
        <w:ind w:right="62"/>
        <w:rPr>
          <w:rFonts w:eastAsia="Times New Roman"/>
        </w:rPr>
      </w:pPr>
      <w:r>
        <w:rPr>
          <w:rFonts w:eastAsia="Times New Roman"/>
          <w:b/>
        </w:rPr>
        <w:t xml:space="preserve">Keywords </w:t>
      </w:r>
      <w:r w:rsidRPr="00FE082A">
        <w:rPr>
          <w:rFonts w:eastAsia="Times New Roman"/>
          <w:b/>
          <w:color w:val="00B050"/>
        </w:rPr>
        <w:t>(10 Bold)</w:t>
      </w:r>
      <w:r>
        <w:rPr>
          <w:rFonts w:eastAsia="Times New Roman"/>
          <w:b/>
        </w:rPr>
        <w:t>:</w:t>
      </w:r>
      <w:r>
        <w:rPr>
          <w:rFonts w:eastAsia="Times New Roman"/>
        </w:rPr>
        <w:t xml:space="preserve"> (Up to five key words) (10 regular)</w:t>
      </w:r>
    </w:p>
    <w:p w:rsidR="00EC7D60" w:rsidRPr="00EC7D60" w:rsidRDefault="00EC7D60" w:rsidP="002027D3"/>
    <w:p w:rsidR="00EC7D60" w:rsidRDefault="00EC7D60" w:rsidP="00EC7D60">
      <w:pPr>
        <w:jc w:val="left"/>
        <w:rPr>
          <w:rFonts w:eastAsia="Times New Roman"/>
          <w:b/>
        </w:rPr>
      </w:pPr>
      <w:r>
        <w:rPr>
          <w:rFonts w:eastAsia="Times New Roman"/>
          <w:b/>
        </w:rPr>
        <w:t xml:space="preserve">References </w:t>
      </w:r>
      <w:r w:rsidRPr="00FE082A">
        <w:rPr>
          <w:rFonts w:eastAsia="Times New Roman"/>
          <w:b/>
          <w:color w:val="00B050"/>
        </w:rPr>
        <w:t>(10 Bold)</w:t>
      </w:r>
    </w:p>
    <w:p w:rsidR="009D4BE3" w:rsidRDefault="009D4BE3" w:rsidP="00EC7D60">
      <w:pPr>
        <w:numPr>
          <w:ilvl w:val="0"/>
          <w:numId w:val="1"/>
        </w:numPr>
      </w:pPr>
      <w:bookmarkStart w:id="0" w:name="_GoBack"/>
      <w:bookmarkEnd w:id="0"/>
      <w:r>
        <w:t xml:space="preserve">Liu, Z., et al., Capillary drop penetration method to characterize the liquid wetting of powders. </w:t>
      </w:r>
      <w:r w:rsidRPr="009D4BE3">
        <w:rPr>
          <w:i/>
        </w:rPr>
        <w:t>Langmuir</w:t>
      </w:r>
      <w:r>
        <w:t>, 2017. 33(1): p. 56-65.</w:t>
      </w:r>
    </w:p>
    <w:p w:rsidR="00DA3485" w:rsidRDefault="009D4BE3" w:rsidP="009D4BE3">
      <w:pPr>
        <w:numPr>
          <w:ilvl w:val="0"/>
          <w:numId w:val="1"/>
        </w:numPr>
      </w:pPr>
      <w:r>
        <w:t xml:space="preserve">Wu, M., S. </w:t>
      </w:r>
      <w:proofErr w:type="spellStart"/>
      <w:r>
        <w:t>Radl</w:t>
      </w:r>
      <w:proofErr w:type="spellEnd"/>
      <w:r>
        <w:t xml:space="preserve">, and J.G. </w:t>
      </w:r>
      <w:proofErr w:type="spellStart"/>
      <w:r>
        <w:t>Khinast</w:t>
      </w:r>
      <w:proofErr w:type="spellEnd"/>
      <w:r>
        <w:t xml:space="preserve">, A model to predict liquid bridge formation between wet particles based on direct numerical simulations. </w:t>
      </w:r>
      <w:proofErr w:type="spellStart"/>
      <w:r w:rsidRPr="009D4BE3">
        <w:rPr>
          <w:i/>
        </w:rPr>
        <w:t>AIChE</w:t>
      </w:r>
      <w:proofErr w:type="spellEnd"/>
      <w:r w:rsidRPr="009D4BE3">
        <w:rPr>
          <w:i/>
        </w:rPr>
        <w:t xml:space="preserve"> Journal</w:t>
      </w:r>
      <w:r>
        <w:t>, 2016. 62(6): p. 1877-1897.</w:t>
      </w:r>
    </w:p>
    <w:p w:rsidR="00BF4167" w:rsidRDefault="00BF4167" w:rsidP="002027D3"/>
    <w:p w:rsidR="00EC7D60" w:rsidRDefault="00EC7D60" w:rsidP="002027D3"/>
    <w:p w:rsidR="00EC7D60" w:rsidRPr="002B4502" w:rsidRDefault="00EC7D60" w:rsidP="002027D3">
      <w:r w:rsidRPr="002B4502">
        <w:rPr>
          <w:rFonts w:eastAsia="Times New Roman" w:hint="eastAsia"/>
          <w:u w:val="single"/>
        </w:rPr>
        <w:t>[</w:t>
      </w:r>
      <w:r w:rsidR="000C05DD" w:rsidRPr="002B4502">
        <w:rPr>
          <w:rFonts w:eastAsia="Times New Roman"/>
          <w:u w:val="single"/>
        </w:rPr>
        <w:t>Notice</w:t>
      </w:r>
      <w:r w:rsidRPr="002B4502">
        <w:rPr>
          <w:rFonts w:eastAsia="Times New Roman" w:hint="eastAsia"/>
          <w:u w:val="single"/>
        </w:rPr>
        <w:t>]</w:t>
      </w:r>
      <w:r w:rsidRPr="002B4502">
        <w:rPr>
          <w:rFonts w:eastAsia="Times New Roman"/>
          <w:u w:val="single"/>
        </w:rPr>
        <w:t xml:space="preserve"> The length of the abstract MUST BE within one page</w:t>
      </w:r>
      <w:r w:rsidRPr="002B4502">
        <w:rPr>
          <w:rFonts w:eastAsia="Times New Roman"/>
        </w:rPr>
        <w:t>.</w:t>
      </w:r>
    </w:p>
    <w:sectPr w:rsidR="00EC7D60" w:rsidRPr="002B4502" w:rsidSect="00C27A03">
      <w:type w:val="continuous"/>
      <w:pgSz w:w="11906" w:h="16838" w:code="9"/>
      <w:pgMar w:top="1418" w:right="1418" w:bottom="1418" w:left="1418" w:header="851" w:footer="992" w:gutter="0"/>
      <w:cols w:space="340"/>
      <w:docGrid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7F51" w:rsidRDefault="003E7F51">
      <w:r>
        <w:separator/>
      </w:r>
    </w:p>
  </w:endnote>
  <w:endnote w:type="continuationSeparator" w:id="0">
    <w:p w:rsidR="003E7F51" w:rsidRDefault="003E7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新細明體">
    <w:altName w:val="PMingLiU"/>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7F51" w:rsidRDefault="003E7F51">
      <w:r>
        <w:separator/>
      </w:r>
    </w:p>
  </w:footnote>
  <w:footnote w:type="continuationSeparator" w:id="0">
    <w:p w:rsidR="003E7F51" w:rsidRDefault="003E7F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9E" w:rsidRPr="00460075" w:rsidRDefault="00460075" w:rsidP="00460075">
    <w:pPr>
      <w:pStyle w:val="a3"/>
      <w:jc w:val="right"/>
      <w:rPr>
        <w:i/>
        <w:sz w:val="24"/>
        <w:szCs w:val="24"/>
      </w:rPr>
    </w:pPr>
    <w:r w:rsidRPr="00460075">
      <w:rPr>
        <w:i/>
        <w:sz w:val="24"/>
        <w:szCs w:val="24"/>
      </w:rPr>
      <w:t>ICFPE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1435FA"/>
    <w:multiLevelType w:val="hybridMultilevel"/>
    <w:tmpl w:val="05F83398"/>
    <w:lvl w:ilvl="0" w:tplc="1726556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13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7D3"/>
    <w:rsid w:val="0003599C"/>
    <w:rsid w:val="00042EB5"/>
    <w:rsid w:val="000A134D"/>
    <w:rsid w:val="000C035E"/>
    <w:rsid w:val="000C05DD"/>
    <w:rsid w:val="000C0690"/>
    <w:rsid w:val="000C44EA"/>
    <w:rsid w:val="00132A4F"/>
    <w:rsid w:val="00136EF1"/>
    <w:rsid w:val="00156B9E"/>
    <w:rsid w:val="00180272"/>
    <w:rsid w:val="002027D3"/>
    <w:rsid w:val="002233AB"/>
    <w:rsid w:val="002249C9"/>
    <w:rsid w:val="0025201A"/>
    <w:rsid w:val="00256CC2"/>
    <w:rsid w:val="00262E9E"/>
    <w:rsid w:val="00270724"/>
    <w:rsid w:val="00275B65"/>
    <w:rsid w:val="002810DD"/>
    <w:rsid w:val="00295FAB"/>
    <w:rsid w:val="002B211B"/>
    <w:rsid w:val="002B4502"/>
    <w:rsid w:val="002C5F49"/>
    <w:rsid w:val="002E4375"/>
    <w:rsid w:val="002E4C1A"/>
    <w:rsid w:val="00307AD1"/>
    <w:rsid w:val="00364AF0"/>
    <w:rsid w:val="00372E98"/>
    <w:rsid w:val="00376901"/>
    <w:rsid w:val="00376948"/>
    <w:rsid w:val="00392982"/>
    <w:rsid w:val="003B2BB7"/>
    <w:rsid w:val="003E7F51"/>
    <w:rsid w:val="003F65F3"/>
    <w:rsid w:val="00420DF1"/>
    <w:rsid w:val="00423386"/>
    <w:rsid w:val="00436505"/>
    <w:rsid w:val="00460075"/>
    <w:rsid w:val="0047793A"/>
    <w:rsid w:val="004871F4"/>
    <w:rsid w:val="004E63FE"/>
    <w:rsid w:val="004F515C"/>
    <w:rsid w:val="00500C7A"/>
    <w:rsid w:val="00502B29"/>
    <w:rsid w:val="0051493A"/>
    <w:rsid w:val="0051672F"/>
    <w:rsid w:val="00525603"/>
    <w:rsid w:val="00530DC5"/>
    <w:rsid w:val="0055151E"/>
    <w:rsid w:val="0058640D"/>
    <w:rsid w:val="005C1C3C"/>
    <w:rsid w:val="005C1D86"/>
    <w:rsid w:val="005C3F43"/>
    <w:rsid w:val="006001C2"/>
    <w:rsid w:val="00601105"/>
    <w:rsid w:val="00676239"/>
    <w:rsid w:val="00676C1F"/>
    <w:rsid w:val="006A1477"/>
    <w:rsid w:val="006D399E"/>
    <w:rsid w:val="006E7CB4"/>
    <w:rsid w:val="00752B7B"/>
    <w:rsid w:val="00753909"/>
    <w:rsid w:val="0079113C"/>
    <w:rsid w:val="007A3A94"/>
    <w:rsid w:val="008234EA"/>
    <w:rsid w:val="00824F2E"/>
    <w:rsid w:val="008536D8"/>
    <w:rsid w:val="008C341A"/>
    <w:rsid w:val="008C6C2D"/>
    <w:rsid w:val="0091531C"/>
    <w:rsid w:val="00931A14"/>
    <w:rsid w:val="009462A6"/>
    <w:rsid w:val="00947F23"/>
    <w:rsid w:val="00962733"/>
    <w:rsid w:val="009C5C2A"/>
    <w:rsid w:val="009D4BE3"/>
    <w:rsid w:val="00A06E65"/>
    <w:rsid w:val="00A17106"/>
    <w:rsid w:val="00AC4819"/>
    <w:rsid w:val="00AE1EE0"/>
    <w:rsid w:val="00AE4CDF"/>
    <w:rsid w:val="00AF54F0"/>
    <w:rsid w:val="00B218ED"/>
    <w:rsid w:val="00B302C2"/>
    <w:rsid w:val="00B3313F"/>
    <w:rsid w:val="00B61692"/>
    <w:rsid w:val="00BC3F7D"/>
    <w:rsid w:val="00BD3465"/>
    <w:rsid w:val="00BE67BA"/>
    <w:rsid w:val="00BF4167"/>
    <w:rsid w:val="00C17A53"/>
    <w:rsid w:val="00C25E00"/>
    <w:rsid w:val="00C25E7A"/>
    <w:rsid w:val="00C27A03"/>
    <w:rsid w:val="00C66B59"/>
    <w:rsid w:val="00CB3928"/>
    <w:rsid w:val="00CB41E8"/>
    <w:rsid w:val="00CD38DA"/>
    <w:rsid w:val="00D0011B"/>
    <w:rsid w:val="00D25204"/>
    <w:rsid w:val="00D46E08"/>
    <w:rsid w:val="00D7476E"/>
    <w:rsid w:val="00DA3485"/>
    <w:rsid w:val="00DD13A4"/>
    <w:rsid w:val="00E30965"/>
    <w:rsid w:val="00E456FD"/>
    <w:rsid w:val="00E62580"/>
    <w:rsid w:val="00E63A19"/>
    <w:rsid w:val="00E861B1"/>
    <w:rsid w:val="00EC7D60"/>
    <w:rsid w:val="00EE1C5D"/>
    <w:rsid w:val="00F478CE"/>
    <w:rsid w:val="00F67587"/>
    <w:rsid w:val="00F678B5"/>
    <w:rsid w:val="00F72307"/>
    <w:rsid w:val="00FB0BAD"/>
    <w:rsid w:val="00FD0E7D"/>
    <w:rsid w:val="00FE082A"/>
    <w:rsid w:val="00FE12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61F6210"/>
  <w15:chartTrackingRefBased/>
  <w15:docId w15:val="{8B7558E5-6062-4539-BD7E-76C2ACF2B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MS Mincho" w:hAnsi="Century"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9113C"/>
    <w:pPr>
      <w:widowControl w:val="0"/>
      <w:jc w:val="both"/>
    </w:pPr>
    <w:rPr>
      <w:rFonts w:ascii="Times New Roman" w:hAnsi="Times New Roman"/>
      <w:kern w:val="2"/>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9113C"/>
    <w:pPr>
      <w:tabs>
        <w:tab w:val="center" w:pos="4252"/>
        <w:tab w:val="right" w:pos="8504"/>
      </w:tabs>
      <w:snapToGrid w:val="0"/>
    </w:pPr>
  </w:style>
  <w:style w:type="paragraph" w:styleId="a4">
    <w:name w:val="footer"/>
    <w:basedOn w:val="a"/>
    <w:rsid w:val="0079113C"/>
    <w:pPr>
      <w:tabs>
        <w:tab w:val="center" w:pos="4252"/>
        <w:tab w:val="right" w:pos="8504"/>
      </w:tabs>
      <w:snapToGrid w:val="0"/>
    </w:pPr>
  </w:style>
  <w:style w:type="character" w:styleId="a5">
    <w:name w:val="Hyperlink"/>
    <w:rsid w:val="0079113C"/>
    <w:rPr>
      <w:color w:val="0000FF"/>
      <w:u w:val="single"/>
    </w:rPr>
  </w:style>
  <w:style w:type="table" w:styleId="a6">
    <w:name w:val="Table Grid"/>
    <w:basedOn w:val="a1"/>
    <w:rsid w:val="0037694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解析的提及項目1"/>
    <w:basedOn w:val="a0"/>
    <w:uiPriority w:val="99"/>
    <w:semiHidden/>
    <w:unhideWhenUsed/>
    <w:rsid w:val="00EC7D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52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79893F-B5C4-47B8-B92A-E81CD6D3D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406</Words>
  <Characters>2316</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Guidelines for the Preparation of the Extended Abstract for IWPI</vt:lpstr>
      <vt:lpstr>Guidelines for the Preparation of the Extended Abstract for IWPI</vt:lpstr>
    </vt:vector>
  </TitlesOfParts>
  <Company>kobe-u.ac.jp</Company>
  <LinksUpToDate>false</LinksUpToDate>
  <CharactersWithSpaces>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the Preparation of the Extended Abstract for IWPI</dc:title>
  <dc:subject/>
  <dc:creator>Yoshiyuki KOMODA</dc:creator>
  <cp:keywords/>
  <cp:lastModifiedBy>inkjet_000</cp:lastModifiedBy>
  <cp:revision>4</cp:revision>
  <cp:lastPrinted>2017-02-06T06:43:00Z</cp:lastPrinted>
  <dcterms:created xsi:type="dcterms:W3CDTF">2024-01-09T02:45:00Z</dcterms:created>
  <dcterms:modified xsi:type="dcterms:W3CDTF">2024-01-18T02:31:00Z</dcterms:modified>
</cp:coreProperties>
</file>